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166A" w:rsidRDefault="00CE166A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CF7039" w:rsidRDefault="0097675F" w:rsidP="0097675F">
      <w:pPr>
        <w:tabs>
          <w:tab w:val="left" w:pos="0"/>
          <w:tab w:val="left" w:pos="993"/>
        </w:tabs>
        <w:jc w:val="both"/>
        <w:rPr>
          <w:sz w:val="22"/>
          <w:szCs w:val="22"/>
        </w:rPr>
      </w:pPr>
    </w:p>
    <w:p w:rsidR="0097675F" w:rsidRPr="00AC4A0D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F7039">
        <w:rPr>
          <w:sz w:val="22"/>
          <w:szCs w:val="22"/>
        </w:rPr>
        <w:tab/>
      </w:r>
      <w:r w:rsidRPr="00AC4A0D">
        <w:rPr>
          <w:sz w:val="24"/>
          <w:szCs w:val="24"/>
        </w:rPr>
        <w:t xml:space="preserve">По информации Челябинского центра по гидрометеорологии и мониторингу окружающей среды, в период </w:t>
      </w:r>
      <w:r w:rsidRPr="00AC4A0D">
        <w:rPr>
          <w:b/>
          <w:sz w:val="24"/>
          <w:szCs w:val="24"/>
        </w:rPr>
        <w:t xml:space="preserve">с 19-00 часов </w:t>
      </w:r>
      <w:r w:rsidR="00136CE4" w:rsidRPr="00AC4A0D">
        <w:rPr>
          <w:b/>
          <w:sz w:val="24"/>
          <w:szCs w:val="24"/>
        </w:rPr>
        <w:t>26.01.2022г</w:t>
      </w:r>
      <w:r w:rsidRPr="00AC4A0D">
        <w:rPr>
          <w:b/>
          <w:sz w:val="24"/>
          <w:szCs w:val="24"/>
        </w:rPr>
        <w:t xml:space="preserve"> до 19-00 часов 19-00 2</w:t>
      </w:r>
      <w:r w:rsidR="00136CE4" w:rsidRPr="00AC4A0D">
        <w:rPr>
          <w:b/>
          <w:sz w:val="24"/>
          <w:szCs w:val="24"/>
        </w:rPr>
        <w:t>8</w:t>
      </w:r>
      <w:r w:rsidRPr="00AC4A0D">
        <w:rPr>
          <w:b/>
          <w:sz w:val="24"/>
          <w:szCs w:val="24"/>
        </w:rPr>
        <w:t>.01.2022г</w:t>
      </w:r>
      <w:r w:rsidRPr="00AC4A0D">
        <w:rPr>
          <w:sz w:val="24"/>
          <w:szCs w:val="24"/>
        </w:rPr>
        <w:t xml:space="preserve"> </w:t>
      </w:r>
      <w:r w:rsidR="007D5B90" w:rsidRPr="00AC4A0D">
        <w:rPr>
          <w:sz w:val="24"/>
          <w:szCs w:val="24"/>
        </w:rPr>
        <w:t xml:space="preserve">сохраняется </w:t>
      </w:r>
      <w:r w:rsidRPr="00AC4A0D">
        <w:rPr>
          <w:b/>
          <w:sz w:val="24"/>
          <w:szCs w:val="24"/>
        </w:rPr>
        <w:t>действ</w:t>
      </w:r>
      <w:r w:rsidR="007D5B90" w:rsidRPr="00AC4A0D">
        <w:rPr>
          <w:b/>
          <w:sz w:val="24"/>
          <w:szCs w:val="24"/>
        </w:rPr>
        <w:t>ие</w:t>
      </w:r>
      <w:r w:rsidRPr="00AC4A0D">
        <w:rPr>
          <w:b/>
          <w:sz w:val="24"/>
          <w:szCs w:val="24"/>
        </w:rPr>
        <w:t xml:space="preserve"> неблагоприятны</w:t>
      </w:r>
      <w:r w:rsidR="007D5B90" w:rsidRPr="00AC4A0D">
        <w:rPr>
          <w:b/>
          <w:sz w:val="24"/>
          <w:szCs w:val="24"/>
        </w:rPr>
        <w:t xml:space="preserve">х </w:t>
      </w:r>
      <w:r w:rsidRPr="00AC4A0D">
        <w:rPr>
          <w:b/>
          <w:sz w:val="24"/>
          <w:szCs w:val="24"/>
        </w:rPr>
        <w:t>метеорологически</w:t>
      </w:r>
      <w:r w:rsidR="007D5B90" w:rsidRPr="00AC4A0D">
        <w:rPr>
          <w:b/>
          <w:sz w:val="24"/>
          <w:szCs w:val="24"/>
        </w:rPr>
        <w:t>х</w:t>
      </w:r>
      <w:r w:rsidRPr="00AC4A0D">
        <w:rPr>
          <w:b/>
          <w:sz w:val="24"/>
          <w:szCs w:val="24"/>
        </w:rPr>
        <w:t xml:space="preserve"> услови</w:t>
      </w:r>
      <w:r w:rsidR="007D5B90" w:rsidRPr="00AC4A0D">
        <w:rPr>
          <w:b/>
          <w:sz w:val="24"/>
          <w:szCs w:val="24"/>
        </w:rPr>
        <w:t>й</w:t>
      </w:r>
      <w:r w:rsidRPr="00AC4A0D">
        <w:rPr>
          <w:sz w:val="24"/>
          <w:szCs w:val="24"/>
        </w:rPr>
        <w:t xml:space="preserve"> (НМУ) </w:t>
      </w:r>
      <w:r w:rsidRPr="00AC4A0D">
        <w:rPr>
          <w:b/>
          <w:sz w:val="24"/>
          <w:szCs w:val="24"/>
        </w:rPr>
        <w:t>1 степени опасности</w:t>
      </w:r>
      <w:r w:rsidR="00C76D31">
        <w:rPr>
          <w:b/>
          <w:sz w:val="24"/>
          <w:szCs w:val="24"/>
        </w:rPr>
        <w:t xml:space="preserve"> до 02.02.2022</w:t>
      </w:r>
      <w:bookmarkStart w:id="0" w:name="_GoBack"/>
      <w:bookmarkEnd w:id="0"/>
      <w:r w:rsidRPr="00AC4A0D">
        <w:rPr>
          <w:sz w:val="24"/>
          <w:szCs w:val="24"/>
        </w:rPr>
        <w:t>.</w:t>
      </w:r>
    </w:p>
    <w:p w:rsidR="0097675F" w:rsidRPr="00AC4A0D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AC4A0D">
        <w:rPr>
          <w:sz w:val="24"/>
          <w:szCs w:val="24"/>
        </w:rPr>
        <w:tab/>
        <w:t xml:space="preserve">Телефонограммой о </w:t>
      </w:r>
      <w:r w:rsidR="001009F0" w:rsidRPr="00AC4A0D">
        <w:rPr>
          <w:sz w:val="24"/>
          <w:szCs w:val="24"/>
        </w:rPr>
        <w:t xml:space="preserve">сохранении </w:t>
      </w:r>
      <w:r w:rsidRPr="00AC4A0D">
        <w:rPr>
          <w:sz w:val="24"/>
          <w:szCs w:val="24"/>
        </w:rPr>
        <w:t>НМУ 1 степени опасности проведено оповещение цехов и подразделений завода.</w:t>
      </w:r>
    </w:p>
    <w:p w:rsidR="00136CE4" w:rsidRPr="00AC4A0D" w:rsidRDefault="00136CE4" w:rsidP="00136CE4">
      <w:pPr>
        <w:ind w:firstLine="720"/>
        <w:jc w:val="both"/>
        <w:rPr>
          <w:color w:val="auto"/>
          <w:sz w:val="24"/>
          <w:szCs w:val="24"/>
          <w:lang w:eastAsia="ru-RU"/>
        </w:rPr>
      </w:pPr>
      <w:r w:rsidRPr="00AC4A0D">
        <w:rPr>
          <w:color w:val="auto"/>
          <w:sz w:val="24"/>
          <w:szCs w:val="24"/>
          <w:lang w:eastAsia="ru-RU"/>
        </w:rPr>
        <w:t>По результатам ВКС с Министерством Экологии Челябинской области 25.01.2022г, в связи с длительным действием НМУ 1 степени (начиная с 19-00 19.01.2022) и сложной экологической ситуацией в городе Челябинске</w:t>
      </w:r>
      <w:r w:rsidRPr="00AC4A0D">
        <w:rPr>
          <w:sz w:val="24"/>
          <w:szCs w:val="24"/>
        </w:rPr>
        <w:t xml:space="preserve"> с 16-00 25.01.2022 и до окончания действия НМУ работа всех цехов ООО «Мечел-Кокс» переведена на режим действия НМУ 2 степени.</w:t>
      </w:r>
    </w:p>
    <w:p w:rsidR="00136CE4" w:rsidRPr="00AC4A0D" w:rsidRDefault="00136CE4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97675F" w:rsidRPr="00AC4A0D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AC4A0D">
        <w:rPr>
          <w:sz w:val="24"/>
          <w:szCs w:val="24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394"/>
      </w:tblGrid>
      <w:tr w:rsidR="00FD1E2D" w:rsidRPr="00AC4A0D" w:rsidTr="00AA2C27">
        <w:trPr>
          <w:tblHeader/>
        </w:trPr>
        <w:tc>
          <w:tcPr>
            <w:tcW w:w="2405" w:type="dxa"/>
            <w:tcBorders>
              <w:bottom w:val="single" w:sz="4" w:space="0" w:color="auto"/>
            </w:tcBorders>
          </w:tcPr>
          <w:p w:rsidR="00FD1E2D" w:rsidRPr="00AC4A0D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AC4A0D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AC4A0D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AC4A0D">
              <w:rPr>
                <w:b/>
                <w:sz w:val="24"/>
                <w:szCs w:val="24"/>
              </w:rPr>
              <w:t>М</w:t>
            </w:r>
            <w:r w:rsidR="00FD1E2D" w:rsidRPr="00AC4A0D">
              <w:rPr>
                <w:b/>
                <w:sz w:val="24"/>
                <w:szCs w:val="24"/>
              </w:rPr>
              <w:t>ероприяти</w:t>
            </w:r>
            <w:r w:rsidRPr="00AC4A0D">
              <w:rPr>
                <w:b/>
                <w:sz w:val="24"/>
                <w:szCs w:val="24"/>
              </w:rPr>
              <w:t>е</w:t>
            </w:r>
          </w:p>
        </w:tc>
      </w:tr>
      <w:tr w:rsidR="00136CE4" w:rsidRPr="00AC4A0D" w:rsidTr="00CE166A">
        <w:tc>
          <w:tcPr>
            <w:tcW w:w="2405" w:type="dxa"/>
          </w:tcPr>
          <w:p w:rsidR="00136CE4" w:rsidRPr="00AC4A0D" w:rsidRDefault="00136CE4" w:rsidP="00136CE4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AC4A0D">
              <w:rPr>
                <w:b/>
                <w:sz w:val="24"/>
                <w:szCs w:val="24"/>
              </w:rPr>
              <w:t>Во всех цехах и подразделениях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E4" w:rsidRPr="00AC4A0D" w:rsidRDefault="00136CE4" w:rsidP="00136CE4">
            <w:pPr>
              <w:suppressAutoHyphens w:val="0"/>
              <w:rPr>
                <w:color w:val="0000CC"/>
                <w:sz w:val="24"/>
                <w:szCs w:val="24"/>
                <w:lang w:eastAsia="ru-RU"/>
              </w:rPr>
            </w:pPr>
            <w:r w:rsidRPr="00AC4A0D">
              <w:rPr>
                <w:color w:val="0000CC"/>
                <w:sz w:val="24"/>
                <w:szCs w:val="24"/>
                <w:lang w:eastAsia="ru-RU"/>
              </w:rPr>
              <w:t>Ограничено использование автотранспорта, строительно-дорожной техники и других передвижных источников выбросов на территории предприятия и на стоянках автотранспорта</w:t>
            </w:r>
          </w:p>
        </w:tc>
      </w:tr>
      <w:tr w:rsidR="00FD1E2D" w:rsidRPr="00AC4A0D" w:rsidTr="00CE166A">
        <w:tc>
          <w:tcPr>
            <w:tcW w:w="2405" w:type="dxa"/>
            <w:vMerge w:val="restart"/>
          </w:tcPr>
          <w:p w:rsidR="00FD1E2D" w:rsidRPr="00AC4A0D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AC4A0D">
              <w:rPr>
                <w:b/>
                <w:sz w:val="24"/>
                <w:szCs w:val="24"/>
              </w:rPr>
              <w:t>Углеподготовительный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AC4A0D" w:rsidRDefault="00136CE4" w:rsidP="00136CE4">
            <w:pPr>
              <w:suppressAutoHyphens w:val="0"/>
              <w:rPr>
                <w:color w:val="0000CC"/>
                <w:sz w:val="24"/>
                <w:szCs w:val="24"/>
                <w:lang w:eastAsia="ru-RU"/>
              </w:rPr>
            </w:pPr>
            <w:r w:rsidRPr="00AC4A0D">
              <w:rPr>
                <w:color w:val="0000CC"/>
                <w:sz w:val="24"/>
                <w:szCs w:val="24"/>
                <w:lang w:eastAsia="ru-RU"/>
              </w:rPr>
              <w:t>Запрещена работа бульдозера на открытом складе угля.</w:t>
            </w:r>
          </w:p>
        </w:tc>
      </w:tr>
      <w:tr w:rsidR="00136CE4" w:rsidRPr="00AC4A0D" w:rsidTr="00CE166A">
        <w:tc>
          <w:tcPr>
            <w:tcW w:w="2405" w:type="dxa"/>
            <w:vMerge/>
          </w:tcPr>
          <w:p w:rsidR="00136CE4" w:rsidRPr="00AC4A0D" w:rsidRDefault="00136CE4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E4" w:rsidRPr="00AC4A0D" w:rsidRDefault="00136CE4" w:rsidP="00136CE4">
            <w:pPr>
              <w:suppressAutoHyphens w:val="0"/>
              <w:rPr>
                <w:color w:val="0000CC"/>
                <w:sz w:val="24"/>
                <w:szCs w:val="24"/>
                <w:lang w:eastAsia="ru-RU"/>
              </w:rPr>
            </w:pPr>
            <w:r w:rsidRPr="00AC4A0D">
              <w:rPr>
                <w:b/>
                <w:color w:val="0000CC"/>
                <w:sz w:val="24"/>
                <w:szCs w:val="24"/>
                <w:u w:val="single"/>
                <w:lang w:eastAsia="ru-RU"/>
              </w:rPr>
              <w:t>Дополнительно</w:t>
            </w:r>
            <w:r w:rsidRPr="00AC4A0D">
              <w:rPr>
                <w:color w:val="0000CC"/>
                <w:sz w:val="24"/>
                <w:szCs w:val="24"/>
                <w:lang w:eastAsia="ru-RU"/>
              </w:rPr>
              <w:t xml:space="preserve"> остановлен один </w:t>
            </w:r>
            <w:proofErr w:type="spellStart"/>
            <w:r w:rsidRPr="00AC4A0D">
              <w:rPr>
                <w:color w:val="0000CC"/>
                <w:sz w:val="24"/>
                <w:szCs w:val="24"/>
                <w:lang w:eastAsia="ru-RU"/>
              </w:rPr>
              <w:t>углеперегружатель</w:t>
            </w:r>
            <w:proofErr w:type="spellEnd"/>
            <w:r w:rsidRPr="00AC4A0D">
              <w:rPr>
                <w:color w:val="0000CC"/>
                <w:sz w:val="24"/>
                <w:szCs w:val="24"/>
                <w:lang w:eastAsia="ru-RU"/>
              </w:rPr>
              <w:t xml:space="preserve"> и один </w:t>
            </w:r>
            <w:proofErr w:type="spellStart"/>
            <w:r w:rsidRPr="00AC4A0D">
              <w:rPr>
                <w:color w:val="0000CC"/>
                <w:sz w:val="24"/>
                <w:szCs w:val="24"/>
                <w:lang w:eastAsia="ru-RU"/>
              </w:rPr>
              <w:t>вагоноопрокидыватель</w:t>
            </w:r>
            <w:proofErr w:type="spellEnd"/>
          </w:p>
        </w:tc>
      </w:tr>
      <w:tr w:rsidR="00136CE4" w:rsidRPr="00AC4A0D" w:rsidTr="00CE166A">
        <w:tc>
          <w:tcPr>
            <w:tcW w:w="2405" w:type="dxa"/>
            <w:vMerge/>
          </w:tcPr>
          <w:p w:rsidR="00136CE4" w:rsidRPr="00AC4A0D" w:rsidRDefault="00136CE4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E4" w:rsidRPr="00AC4A0D" w:rsidRDefault="00136CE4" w:rsidP="00E261DE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AC4A0D" w:rsidTr="00CE166A">
        <w:tc>
          <w:tcPr>
            <w:tcW w:w="2405" w:type="dxa"/>
            <w:vMerge/>
          </w:tcPr>
          <w:p w:rsidR="00FD1E2D" w:rsidRPr="00AC4A0D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AC4A0D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000000"/>
                <w:sz w:val="24"/>
                <w:szCs w:val="24"/>
              </w:rPr>
              <w:t>Запрещена продувка свечей газопровода природного газа</w:t>
            </w:r>
          </w:p>
        </w:tc>
      </w:tr>
      <w:tr w:rsidR="00FD1E2D" w:rsidRPr="00AC4A0D" w:rsidTr="00CE166A">
        <w:tc>
          <w:tcPr>
            <w:tcW w:w="2405" w:type="dxa"/>
            <w:vMerge/>
          </w:tcPr>
          <w:p w:rsidR="00FD1E2D" w:rsidRPr="00AC4A0D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Default="00FD1E2D" w:rsidP="000E141C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</w:t>
            </w:r>
            <w:r w:rsidR="000E141C" w:rsidRPr="00AC4A0D">
              <w:rPr>
                <w:color w:val="auto"/>
                <w:sz w:val="24"/>
                <w:szCs w:val="24"/>
                <w:lang w:eastAsia="ru-RU"/>
              </w:rPr>
              <w:t>газоочистных систем</w:t>
            </w:r>
          </w:p>
          <w:p w:rsidR="00AA2C27" w:rsidRPr="00AC4A0D" w:rsidRDefault="00AA2C27" w:rsidP="000E141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D1E2D" w:rsidRPr="00AC4A0D" w:rsidTr="00CE166A"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FD1E2D" w:rsidRPr="00AC4A0D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AC4A0D">
              <w:rPr>
                <w:b/>
                <w:sz w:val="24"/>
                <w:szCs w:val="24"/>
              </w:rPr>
              <w:t>Коксовые цеха №1 и №2</w:t>
            </w:r>
          </w:p>
        </w:tc>
        <w:tc>
          <w:tcPr>
            <w:tcW w:w="7796" w:type="dxa"/>
          </w:tcPr>
          <w:p w:rsidR="00FD1E2D" w:rsidRPr="00AC4A0D" w:rsidRDefault="000E141C" w:rsidP="003772D7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C4A0D">
              <w:rPr>
                <w:sz w:val="24"/>
                <w:szCs w:val="24"/>
              </w:rPr>
              <w:t>К</w:t>
            </w:r>
            <w:r w:rsidR="00FD1E2D" w:rsidRPr="00AC4A0D">
              <w:rPr>
                <w:sz w:val="24"/>
                <w:szCs w:val="24"/>
              </w:rPr>
              <w:t>оксовы</w:t>
            </w:r>
            <w:r w:rsidRPr="00AC4A0D">
              <w:rPr>
                <w:sz w:val="24"/>
                <w:szCs w:val="24"/>
              </w:rPr>
              <w:t>е</w:t>
            </w:r>
            <w:r w:rsidR="00FD1E2D" w:rsidRPr="00AC4A0D">
              <w:rPr>
                <w:sz w:val="24"/>
                <w:szCs w:val="24"/>
              </w:rPr>
              <w:t xml:space="preserve"> батаре</w:t>
            </w:r>
            <w:r w:rsidRPr="00AC4A0D">
              <w:rPr>
                <w:sz w:val="24"/>
                <w:szCs w:val="24"/>
              </w:rPr>
              <w:t xml:space="preserve">и №2, 4, 5, 6, 7, 8 работают на </w:t>
            </w:r>
            <w:r w:rsidR="000E0FD5" w:rsidRPr="00AC4A0D">
              <w:rPr>
                <w:sz w:val="24"/>
                <w:szCs w:val="24"/>
              </w:rPr>
              <w:t>пониженной производительности (на 5</w:t>
            </w:r>
            <w:r w:rsidR="003772D7">
              <w:rPr>
                <w:sz w:val="24"/>
                <w:szCs w:val="24"/>
              </w:rPr>
              <w:t>9</w:t>
            </w:r>
            <w:r w:rsidRPr="00AC4A0D">
              <w:rPr>
                <w:sz w:val="24"/>
                <w:szCs w:val="24"/>
              </w:rPr>
              <w:t xml:space="preserve">% от </w:t>
            </w:r>
            <w:r w:rsidR="00FD1E2D" w:rsidRPr="00AC4A0D">
              <w:rPr>
                <w:sz w:val="24"/>
                <w:szCs w:val="24"/>
              </w:rPr>
              <w:t>производственной мощности</w:t>
            </w:r>
            <w:r w:rsidR="000E0FD5" w:rsidRPr="00AC4A0D">
              <w:rPr>
                <w:sz w:val="24"/>
                <w:szCs w:val="24"/>
              </w:rPr>
              <w:t>)</w:t>
            </w:r>
            <w:r w:rsidR="007D5B90" w:rsidRPr="00AC4A0D">
              <w:rPr>
                <w:sz w:val="24"/>
                <w:szCs w:val="24"/>
              </w:rPr>
              <w:t xml:space="preserve">. </w:t>
            </w:r>
            <w:r w:rsidRPr="00AC4A0D">
              <w:rPr>
                <w:sz w:val="24"/>
                <w:szCs w:val="24"/>
              </w:rPr>
              <w:t>Коксовые батареи №1, 3 остановлены.</w:t>
            </w:r>
          </w:p>
        </w:tc>
      </w:tr>
      <w:tr w:rsidR="00FD1E2D" w:rsidRPr="00AC4A0D" w:rsidTr="00CE166A">
        <w:trPr>
          <w:trHeight w:val="285"/>
        </w:trPr>
        <w:tc>
          <w:tcPr>
            <w:tcW w:w="2405" w:type="dxa"/>
            <w:vMerge/>
          </w:tcPr>
          <w:p w:rsidR="00FD1E2D" w:rsidRPr="00AC4A0D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FD1E2D" w:rsidRPr="00AC4A0D" w:rsidRDefault="000E141C" w:rsidP="000E141C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Усилен контроль за работой газоочистных систем</w:t>
            </w:r>
            <w:r w:rsidRPr="00AC4A0D">
              <w:rPr>
                <w:sz w:val="24"/>
                <w:szCs w:val="24"/>
              </w:rPr>
              <w:t>. Осуществляется в</w:t>
            </w:r>
            <w:r w:rsidR="00B352C0" w:rsidRPr="00AC4A0D">
              <w:rPr>
                <w:sz w:val="24"/>
                <w:szCs w:val="24"/>
              </w:rPr>
              <w:t>изуальный к</w:t>
            </w:r>
            <w:r w:rsidR="00FD1E2D" w:rsidRPr="00AC4A0D">
              <w:rPr>
                <w:sz w:val="24"/>
                <w:szCs w:val="24"/>
              </w:rPr>
              <w:t xml:space="preserve">онтроль режима подачи воды на </w:t>
            </w:r>
            <w:r w:rsidRPr="00AC4A0D">
              <w:rPr>
                <w:color w:val="auto"/>
                <w:sz w:val="24"/>
                <w:szCs w:val="24"/>
                <w:lang w:eastAsia="ru-RU"/>
              </w:rPr>
              <w:t>газоочистные системы.</w:t>
            </w:r>
          </w:p>
        </w:tc>
      </w:tr>
      <w:tr w:rsidR="00FD1E2D" w:rsidRPr="00AC4A0D" w:rsidTr="00CE166A">
        <w:trPr>
          <w:trHeight w:val="285"/>
        </w:trPr>
        <w:tc>
          <w:tcPr>
            <w:tcW w:w="2405" w:type="dxa"/>
            <w:vMerge/>
          </w:tcPr>
          <w:p w:rsidR="00FD1E2D" w:rsidRPr="00AC4A0D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FD1E2D" w:rsidRPr="00AC4A0D" w:rsidRDefault="00FD1E2D" w:rsidP="00E261DE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AC4A0D" w:rsidTr="00CE166A">
        <w:trPr>
          <w:trHeight w:val="285"/>
        </w:trPr>
        <w:tc>
          <w:tcPr>
            <w:tcW w:w="2405" w:type="dxa"/>
            <w:vMerge/>
          </w:tcPr>
          <w:p w:rsidR="00FD1E2D" w:rsidRPr="00AC4A0D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AC4A0D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 xml:space="preserve">Усилен контроль и обеспечение герметичности </w:t>
            </w:r>
            <w:r w:rsidR="000E141C" w:rsidRPr="00AC4A0D">
              <w:rPr>
                <w:color w:val="auto"/>
                <w:sz w:val="24"/>
                <w:szCs w:val="24"/>
                <w:lang w:eastAsia="ru-RU"/>
              </w:rPr>
              <w:t xml:space="preserve">технологического </w:t>
            </w:r>
            <w:r w:rsidRPr="00AC4A0D">
              <w:rPr>
                <w:color w:val="auto"/>
                <w:sz w:val="24"/>
                <w:szCs w:val="24"/>
                <w:lang w:eastAsia="ru-RU"/>
              </w:rPr>
              <w:t xml:space="preserve">оборудования </w:t>
            </w:r>
          </w:p>
        </w:tc>
      </w:tr>
      <w:tr w:rsidR="00FD1E2D" w:rsidRPr="00AC4A0D" w:rsidTr="00CE166A">
        <w:trPr>
          <w:trHeight w:val="285"/>
        </w:trPr>
        <w:tc>
          <w:tcPr>
            <w:tcW w:w="2405" w:type="dxa"/>
            <w:vMerge/>
          </w:tcPr>
          <w:p w:rsidR="00FD1E2D" w:rsidRPr="00AC4A0D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AC4A0D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систем бездымной загрузки и </w:t>
            </w:r>
            <w:proofErr w:type="spellStart"/>
            <w:r w:rsidRPr="00AC4A0D">
              <w:rPr>
                <w:color w:val="auto"/>
                <w:sz w:val="24"/>
                <w:szCs w:val="24"/>
                <w:lang w:eastAsia="ru-RU"/>
              </w:rPr>
              <w:t>беспылевой</w:t>
            </w:r>
            <w:proofErr w:type="spellEnd"/>
            <w:r w:rsidRPr="00AC4A0D">
              <w:rPr>
                <w:color w:val="auto"/>
                <w:sz w:val="24"/>
                <w:szCs w:val="24"/>
                <w:lang w:eastAsia="ru-RU"/>
              </w:rPr>
              <w:t xml:space="preserve"> выдачи кокса.       </w:t>
            </w:r>
          </w:p>
        </w:tc>
      </w:tr>
      <w:tr w:rsidR="00FD1E2D" w:rsidRPr="00AC4A0D" w:rsidTr="00CE166A">
        <w:trPr>
          <w:trHeight w:val="285"/>
        </w:trPr>
        <w:tc>
          <w:tcPr>
            <w:tcW w:w="2405" w:type="dxa"/>
            <w:vMerge/>
          </w:tcPr>
          <w:p w:rsidR="00FD1E2D" w:rsidRPr="00AC4A0D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AC4A0D" w:rsidRDefault="000E141C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Осуществляется дополнительно</w:t>
            </w:r>
            <w:r w:rsidR="00FD1E2D" w:rsidRPr="00AC4A0D">
              <w:rPr>
                <w:color w:val="auto"/>
                <w:sz w:val="24"/>
                <w:szCs w:val="24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AC4A0D" w:rsidTr="00136CE4">
        <w:trPr>
          <w:trHeight w:val="285"/>
        </w:trPr>
        <w:tc>
          <w:tcPr>
            <w:tcW w:w="2405" w:type="dxa"/>
            <w:vMerge/>
          </w:tcPr>
          <w:p w:rsidR="00FD1E2D" w:rsidRPr="00AC4A0D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Усилен контроль качества воды на тушение кокса.</w:t>
            </w:r>
          </w:p>
          <w:p w:rsidR="00AA2C27" w:rsidRPr="00AC4A0D" w:rsidRDefault="00AA2C27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009F0" w:rsidRPr="00AC4A0D" w:rsidTr="001009F0">
        <w:trPr>
          <w:trHeight w:val="257"/>
        </w:trPr>
        <w:tc>
          <w:tcPr>
            <w:tcW w:w="2405" w:type="dxa"/>
            <w:vMerge w:val="restart"/>
          </w:tcPr>
          <w:p w:rsidR="001009F0" w:rsidRPr="00AC4A0D" w:rsidRDefault="001009F0" w:rsidP="001009F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Химические цеха </w:t>
            </w:r>
          </w:p>
          <w:p w:rsidR="001009F0" w:rsidRPr="00AC4A0D" w:rsidRDefault="001009F0" w:rsidP="001009F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AC4A0D">
              <w:rPr>
                <w:b/>
                <w:bCs/>
                <w:color w:val="auto"/>
                <w:sz w:val="24"/>
                <w:szCs w:val="24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9F0" w:rsidRPr="00AC4A0D" w:rsidRDefault="001009F0" w:rsidP="001009F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Запрещены сварочные работы во всех участках и подразделениях</w:t>
            </w:r>
          </w:p>
        </w:tc>
      </w:tr>
      <w:tr w:rsidR="001009F0" w:rsidRPr="00AC4A0D" w:rsidTr="00136CE4">
        <w:trPr>
          <w:trHeight w:val="1050"/>
        </w:trPr>
        <w:tc>
          <w:tcPr>
            <w:tcW w:w="2405" w:type="dxa"/>
            <w:vMerge/>
          </w:tcPr>
          <w:p w:rsidR="001009F0" w:rsidRPr="00AC4A0D" w:rsidRDefault="001009F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9F0" w:rsidRPr="00AC4A0D" w:rsidRDefault="001009F0" w:rsidP="00B352C0">
            <w:pPr>
              <w:suppressAutoHyphens w:val="0"/>
              <w:rPr>
                <w:b/>
                <w:color w:val="auto"/>
                <w:sz w:val="24"/>
                <w:szCs w:val="24"/>
                <w:u w:val="single"/>
                <w:lang w:eastAsia="ru-RU"/>
              </w:rPr>
            </w:pPr>
            <w:r w:rsidRPr="00AC4A0D">
              <w:rPr>
                <w:b/>
                <w:color w:val="auto"/>
                <w:sz w:val="24"/>
                <w:szCs w:val="24"/>
                <w:u w:val="single"/>
                <w:lang w:eastAsia="ru-RU"/>
              </w:rPr>
              <w:t xml:space="preserve">Дополнительно. </w:t>
            </w:r>
          </w:p>
          <w:p w:rsidR="001009F0" w:rsidRPr="00AC4A0D" w:rsidRDefault="001009F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- усилен контроль за технологическим режимом</w:t>
            </w:r>
          </w:p>
          <w:p w:rsidR="001009F0" w:rsidRPr="00AC4A0D" w:rsidRDefault="001009F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- запрещены пропарочные работы технологического оборудования и железнодорожных цистерн</w:t>
            </w:r>
          </w:p>
          <w:p w:rsidR="001009F0" w:rsidRPr="00AC4A0D" w:rsidRDefault="001009F0" w:rsidP="00B352C0">
            <w:pPr>
              <w:suppressAutoHyphens w:val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color w:val="auto"/>
                <w:sz w:val="24"/>
                <w:szCs w:val="24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1009F0" w:rsidRPr="00AC4A0D" w:rsidTr="001009F0">
        <w:trPr>
          <w:trHeight w:val="231"/>
        </w:trPr>
        <w:tc>
          <w:tcPr>
            <w:tcW w:w="2405" w:type="dxa"/>
            <w:vMerge w:val="restart"/>
          </w:tcPr>
          <w:p w:rsidR="001009F0" w:rsidRPr="00AC4A0D" w:rsidRDefault="001009F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b/>
                <w:bCs/>
                <w:color w:val="auto"/>
                <w:sz w:val="24"/>
                <w:szCs w:val="24"/>
                <w:lang w:eastAsia="ru-RU"/>
              </w:rPr>
              <w:t>Отделение переработки смолы и производства пекового кокса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9F0" w:rsidRPr="00AC4A0D" w:rsidRDefault="000E0FD5" w:rsidP="00FB263F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A2C27">
              <w:rPr>
                <w:color w:val="0000CC"/>
                <w:sz w:val="24"/>
                <w:szCs w:val="24"/>
              </w:rPr>
              <w:t>П</w:t>
            </w:r>
            <w:r w:rsidR="001009F0" w:rsidRPr="00AA2C27">
              <w:rPr>
                <w:color w:val="0000CC"/>
                <w:sz w:val="24"/>
                <w:szCs w:val="24"/>
              </w:rPr>
              <w:t>екококсовы</w:t>
            </w:r>
            <w:r w:rsidRPr="00AA2C27">
              <w:rPr>
                <w:color w:val="0000CC"/>
                <w:sz w:val="24"/>
                <w:szCs w:val="24"/>
              </w:rPr>
              <w:t>е</w:t>
            </w:r>
            <w:proofErr w:type="spellEnd"/>
            <w:r w:rsidR="001009F0" w:rsidRPr="00AA2C27">
              <w:rPr>
                <w:color w:val="0000CC"/>
                <w:sz w:val="24"/>
                <w:szCs w:val="24"/>
              </w:rPr>
              <w:t xml:space="preserve"> батаре</w:t>
            </w:r>
            <w:r w:rsidRPr="00AA2C27">
              <w:rPr>
                <w:color w:val="0000CC"/>
                <w:sz w:val="24"/>
                <w:szCs w:val="24"/>
              </w:rPr>
              <w:t>и</w:t>
            </w:r>
            <w:r w:rsidR="001009F0" w:rsidRPr="00AA2C27">
              <w:rPr>
                <w:color w:val="0000CC"/>
                <w:sz w:val="24"/>
                <w:szCs w:val="24"/>
              </w:rPr>
              <w:t xml:space="preserve"> </w:t>
            </w:r>
            <w:r w:rsidRPr="00AA2C27">
              <w:rPr>
                <w:color w:val="0000CC"/>
                <w:sz w:val="24"/>
                <w:szCs w:val="24"/>
              </w:rPr>
              <w:t>работают на пониженной производительности (</w:t>
            </w:r>
            <w:r w:rsidR="001009F0" w:rsidRPr="00AA2C27">
              <w:rPr>
                <w:color w:val="0000CC"/>
                <w:sz w:val="24"/>
                <w:szCs w:val="24"/>
              </w:rPr>
              <w:t xml:space="preserve">на </w:t>
            </w:r>
            <w:r w:rsidRPr="00AA2C27">
              <w:rPr>
                <w:color w:val="0000CC"/>
                <w:sz w:val="24"/>
                <w:szCs w:val="24"/>
              </w:rPr>
              <w:t xml:space="preserve">64% от производственной мощности).  В работе находятся 2 </w:t>
            </w:r>
            <w:proofErr w:type="spellStart"/>
            <w:r w:rsidRPr="00AA2C27">
              <w:rPr>
                <w:color w:val="0000CC"/>
                <w:sz w:val="24"/>
                <w:szCs w:val="24"/>
              </w:rPr>
              <w:t>пекококсовых</w:t>
            </w:r>
            <w:proofErr w:type="spellEnd"/>
            <w:r w:rsidRPr="00AA2C27">
              <w:rPr>
                <w:color w:val="0000CC"/>
                <w:sz w:val="24"/>
                <w:szCs w:val="24"/>
              </w:rPr>
              <w:t xml:space="preserve"> блока из 4-х.</w:t>
            </w:r>
          </w:p>
        </w:tc>
      </w:tr>
      <w:tr w:rsidR="001009F0" w:rsidRPr="00AC4A0D" w:rsidTr="001009F0">
        <w:trPr>
          <w:trHeight w:val="436"/>
        </w:trPr>
        <w:tc>
          <w:tcPr>
            <w:tcW w:w="2405" w:type="dxa"/>
            <w:vMerge/>
          </w:tcPr>
          <w:p w:rsidR="001009F0" w:rsidRPr="00AC4A0D" w:rsidRDefault="001009F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9F0" w:rsidRPr="00AC4A0D" w:rsidRDefault="001009F0" w:rsidP="00136CE4">
            <w:pPr>
              <w:suppressAutoHyphens w:val="0"/>
              <w:rPr>
                <w:color w:val="0000CC"/>
                <w:sz w:val="24"/>
                <w:szCs w:val="24"/>
              </w:rPr>
            </w:pPr>
            <w:r w:rsidRPr="00AC4A0D">
              <w:rPr>
                <w:b/>
                <w:color w:val="auto"/>
                <w:sz w:val="24"/>
                <w:szCs w:val="24"/>
                <w:u w:val="single"/>
                <w:lang w:eastAsia="ru-RU"/>
              </w:rPr>
              <w:t>Дополнительно.</w:t>
            </w:r>
            <w:r w:rsidRPr="00AC4A0D">
              <w:rPr>
                <w:color w:val="auto"/>
                <w:sz w:val="24"/>
                <w:szCs w:val="24"/>
                <w:lang w:eastAsia="ru-RU"/>
              </w:rPr>
              <w:t xml:space="preserve"> Запрещена работа лаковой установки.</w:t>
            </w:r>
          </w:p>
        </w:tc>
      </w:tr>
      <w:tr w:rsidR="00CF7039" w:rsidRPr="00AC4A0D" w:rsidTr="001009F0">
        <w:trPr>
          <w:trHeight w:val="311"/>
        </w:trPr>
        <w:tc>
          <w:tcPr>
            <w:tcW w:w="2405" w:type="dxa"/>
          </w:tcPr>
          <w:p w:rsidR="00CF7039" w:rsidRPr="00AC4A0D" w:rsidRDefault="001009F0" w:rsidP="001009F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C4A0D">
              <w:rPr>
                <w:b/>
                <w:bCs/>
                <w:color w:val="auto"/>
                <w:sz w:val="24"/>
                <w:szCs w:val="24"/>
                <w:lang w:eastAsia="ru-RU"/>
              </w:rPr>
              <w:t>Отделение ремонта коксохимического оборудования</w:t>
            </w:r>
          </w:p>
        </w:tc>
        <w:tc>
          <w:tcPr>
            <w:tcW w:w="7796" w:type="dxa"/>
          </w:tcPr>
          <w:p w:rsidR="00CF7039" w:rsidRPr="00AC4A0D" w:rsidRDefault="001009F0" w:rsidP="00CF7039">
            <w:pPr>
              <w:pStyle w:val="a6"/>
              <w:spacing w:before="120"/>
              <w:ind w:firstLine="33"/>
              <w:rPr>
                <w:color w:val="auto"/>
                <w:lang w:eastAsia="ru-RU"/>
              </w:rPr>
            </w:pPr>
            <w:r w:rsidRPr="00AC4A0D">
              <w:rPr>
                <w:b/>
                <w:color w:val="auto"/>
                <w:u w:val="single"/>
                <w:lang w:eastAsia="ru-RU"/>
              </w:rPr>
              <w:t>Дополнительно.</w:t>
            </w:r>
            <w:r w:rsidRPr="00AC4A0D">
              <w:rPr>
                <w:color w:val="auto"/>
                <w:lang w:eastAsia="ru-RU"/>
              </w:rPr>
              <w:t xml:space="preserve"> </w:t>
            </w:r>
            <w:r w:rsidR="00CF7039" w:rsidRPr="00AC4A0D">
              <w:rPr>
                <w:color w:val="auto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Pr="00AC4A0D" w:rsidRDefault="00CE166A" w:rsidP="00CF7039">
      <w:pPr>
        <w:pStyle w:val="2"/>
        <w:widowControl/>
        <w:spacing w:line="240" w:lineRule="auto"/>
        <w:rPr>
          <w:rFonts w:ascii="Times New Roman" w:hAnsi="Times New Roman"/>
          <w:bCs/>
          <w:snapToGrid/>
          <w:szCs w:val="24"/>
        </w:rPr>
      </w:pPr>
    </w:p>
    <w:p w:rsidR="00CF7039" w:rsidRPr="00AC4A0D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Cs w:val="24"/>
        </w:rPr>
      </w:pPr>
      <w:r w:rsidRPr="00AC4A0D">
        <w:rPr>
          <w:rFonts w:ascii="Times New Roman" w:hAnsi="Times New Roman"/>
          <w:bCs/>
          <w:snapToGrid/>
          <w:szCs w:val="24"/>
        </w:rPr>
        <w:t xml:space="preserve">В контрольных точках в зоне влияния выбросов предприятия </w:t>
      </w:r>
      <w:r w:rsidR="000E141C" w:rsidRPr="00AC4A0D">
        <w:rPr>
          <w:rFonts w:ascii="Times New Roman" w:hAnsi="Times New Roman"/>
          <w:bCs/>
          <w:snapToGrid/>
          <w:szCs w:val="24"/>
        </w:rPr>
        <w:t>ежесуточно в период действия НМУ проводится</w:t>
      </w:r>
      <w:r w:rsidRPr="00AC4A0D">
        <w:rPr>
          <w:rFonts w:ascii="Times New Roman" w:hAnsi="Times New Roman"/>
          <w:bCs/>
          <w:snapToGrid/>
          <w:szCs w:val="24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AC4A0D">
        <w:rPr>
          <w:rFonts w:ascii="Times New Roman" w:hAnsi="Times New Roman"/>
          <w:bCs/>
          <w:snapToGrid/>
          <w:szCs w:val="24"/>
        </w:rPr>
        <w:tab/>
      </w:r>
    </w:p>
    <w:sectPr w:rsidR="00CF7039" w:rsidRPr="00AC4A0D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ru</w:t>
    </w:r>
    <w:proofErr w:type="spellEnd"/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ru</w:t>
    </w:r>
    <w:proofErr w:type="spellEnd"/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76D3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76D3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3770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0FD5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09F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36CE4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772D7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B90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577B"/>
    <w:rsid w:val="00836016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2C27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A0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D31"/>
    <w:rsid w:val="00C76EEC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263F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C484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85D6-F27A-4D38-AAE2-C872BC59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Пользователь Windows</cp:lastModifiedBy>
  <cp:revision>24</cp:revision>
  <cp:lastPrinted>2022-01-27T08:34:00Z</cp:lastPrinted>
  <dcterms:created xsi:type="dcterms:W3CDTF">2022-01-17T03:49:00Z</dcterms:created>
  <dcterms:modified xsi:type="dcterms:W3CDTF">2022-02-28T04:29:00Z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