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66A" w:rsidRDefault="00CE166A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CF7039" w:rsidRDefault="0097675F" w:rsidP="0097675F">
      <w:pPr>
        <w:tabs>
          <w:tab w:val="left" w:pos="0"/>
          <w:tab w:val="left" w:pos="993"/>
        </w:tabs>
        <w:jc w:val="both"/>
        <w:rPr>
          <w:sz w:val="22"/>
          <w:szCs w:val="22"/>
        </w:rPr>
      </w:pPr>
    </w:p>
    <w:p w:rsidR="0097675F" w:rsidRPr="00CF7039" w:rsidRDefault="0097675F" w:rsidP="00CF703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CF7039">
        <w:rPr>
          <w:sz w:val="22"/>
          <w:szCs w:val="22"/>
        </w:rPr>
        <w:tab/>
        <w:t xml:space="preserve">По информации Челябинского центра по гидрометеорологии и мониторингу окружающей среды, в период </w:t>
      </w:r>
      <w:r w:rsidRPr="00CF7039">
        <w:rPr>
          <w:b/>
          <w:sz w:val="22"/>
          <w:szCs w:val="22"/>
        </w:rPr>
        <w:t xml:space="preserve">с 19-00 часов </w:t>
      </w:r>
      <w:r w:rsidR="007A20AD">
        <w:rPr>
          <w:b/>
          <w:sz w:val="22"/>
          <w:szCs w:val="22"/>
        </w:rPr>
        <w:t>05.02</w:t>
      </w:r>
      <w:r w:rsidRPr="00CF7039">
        <w:rPr>
          <w:b/>
          <w:sz w:val="22"/>
          <w:szCs w:val="22"/>
        </w:rPr>
        <w:t xml:space="preserve">.2022г. до 19-00 часов 19-00 </w:t>
      </w:r>
      <w:r w:rsidR="007A20AD">
        <w:rPr>
          <w:b/>
          <w:sz w:val="22"/>
          <w:szCs w:val="22"/>
        </w:rPr>
        <w:t>10</w:t>
      </w:r>
      <w:bookmarkStart w:id="0" w:name="_GoBack"/>
      <w:bookmarkEnd w:id="0"/>
      <w:r w:rsidR="00AD4E81">
        <w:rPr>
          <w:b/>
          <w:sz w:val="22"/>
          <w:szCs w:val="22"/>
        </w:rPr>
        <w:t>.02</w:t>
      </w:r>
      <w:r w:rsidRPr="00CF7039">
        <w:rPr>
          <w:b/>
          <w:sz w:val="22"/>
          <w:szCs w:val="22"/>
        </w:rPr>
        <w:t>.2022г</w:t>
      </w:r>
      <w:r w:rsidRPr="00CF7039">
        <w:rPr>
          <w:sz w:val="22"/>
          <w:szCs w:val="22"/>
        </w:rPr>
        <w:t xml:space="preserve"> </w:t>
      </w:r>
      <w:r w:rsidRPr="00CF7039">
        <w:rPr>
          <w:b/>
          <w:sz w:val="22"/>
          <w:szCs w:val="22"/>
        </w:rPr>
        <w:t>действуют неблагоприятные метеорологические условия</w:t>
      </w:r>
      <w:r w:rsidRPr="00CF7039">
        <w:rPr>
          <w:sz w:val="22"/>
          <w:szCs w:val="22"/>
        </w:rPr>
        <w:t xml:space="preserve"> (НМУ) </w:t>
      </w:r>
      <w:r w:rsidRPr="00CF7039">
        <w:rPr>
          <w:b/>
          <w:sz w:val="22"/>
          <w:szCs w:val="22"/>
        </w:rPr>
        <w:t>1 степени опасности</w:t>
      </w:r>
      <w:r w:rsidRPr="00CF7039">
        <w:rPr>
          <w:sz w:val="22"/>
          <w:szCs w:val="22"/>
        </w:rPr>
        <w:t>.</w:t>
      </w:r>
    </w:p>
    <w:p w:rsidR="0097675F" w:rsidRPr="00CF7039" w:rsidRDefault="0097675F" w:rsidP="00CF703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CF7039">
        <w:rPr>
          <w:sz w:val="22"/>
          <w:szCs w:val="22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CF7039" w:rsidRDefault="0097675F" w:rsidP="00CF703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CF7039">
        <w:rPr>
          <w:sz w:val="22"/>
          <w:szCs w:val="22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6"/>
      </w:tblGrid>
      <w:tr w:rsidR="00FD1E2D" w:rsidRPr="00CE166A" w:rsidTr="00CE166A">
        <w:tc>
          <w:tcPr>
            <w:tcW w:w="2405" w:type="dxa"/>
            <w:tcBorders>
              <w:bottom w:val="single" w:sz="4" w:space="0" w:color="auto"/>
            </w:tcBorders>
          </w:tcPr>
          <w:p w:rsidR="00FD1E2D" w:rsidRPr="00CE166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E166A">
              <w:rPr>
                <w:b/>
              </w:rPr>
              <w:t>Цех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CE166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FD1E2D" w:rsidRPr="00CE166A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</w:tr>
      <w:tr w:rsidR="00FD1E2D" w:rsidRPr="00CE166A" w:rsidTr="00CE166A">
        <w:tc>
          <w:tcPr>
            <w:tcW w:w="2405" w:type="dxa"/>
            <w:vMerge w:val="restart"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E166A">
              <w:rPr>
                <w:b/>
              </w:rPr>
              <w:t>Углеподготовительный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CE166A" w:rsidRDefault="00FD1E2D" w:rsidP="00E261DE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З</w:t>
            </w:r>
            <w:r w:rsidRPr="009D00E5">
              <w:rPr>
                <w:color w:val="auto"/>
                <w:lang w:eastAsia="ru-RU"/>
              </w:rPr>
              <w:t>апрещены сварочные работы</w:t>
            </w:r>
          </w:p>
        </w:tc>
      </w:tr>
      <w:tr w:rsidR="00FD1E2D" w:rsidRPr="00CE166A" w:rsidTr="00CE166A"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E261DE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000000"/>
              </w:rPr>
              <w:t>Запрещена продувка свечей газопровода природного газа</w:t>
            </w:r>
          </w:p>
        </w:tc>
      </w:tr>
      <w:tr w:rsidR="00FD1E2D" w:rsidRPr="00CE166A" w:rsidTr="00CE166A"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CE166A" w:rsidRDefault="00FD1E2D" w:rsidP="000E141C">
            <w:pPr>
              <w:suppressAutoHyphens w:val="0"/>
              <w:jc w:val="both"/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 xml:space="preserve">силен контроль за работой </w:t>
            </w:r>
            <w:r w:rsidR="000E141C">
              <w:rPr>
                <w:color w:val="auto"/>
                <w:lang w:eastAsia="ru-RU"/>
              </w:rPr>
              <w:t>газоочистных систем</w:t>
            </w:r>
          </w:p>
        </w:tc>
      </w:tr>
      <w:tr w:rsidR="00FD1E2D" w:rsidRPr="00CE166A" w:rsidTr="00CE166A"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E166A">
              <w:rPr>
                <w:b/>
              </w:rPr>
              <w:t>Коксовые цеха №1 и №2</w:t>
            </w:r>
          </w:p>
        </w:tc>
        <w:tc>
          <w:tcPr>
            <w:tcW w:w="7796" w:type="dxa"/>
          </w:tcPr>
          <w:p w:rsidR="00FD1E2D" w:rsidRPr="00CE166A" w:rsidRDefault="000E141C" w:rsidP="007A20AD">
            <w:pPr>
              <w:tabs>
                <w:tab w:val="left" w:pos="0"/>
                <w:tab w:val="left" w:pos="993"/>
              </w:tabs>
              <w:jc w:val="both"/>
            </w:pPr>
            <w:r>
              <w:t>К</w:t>
            </w:r>
            <w:r w:rsidR="00FD1E2D" w:rsidRPr="00CE166A">
              <w:t>оксовы</w:t>
            </w:r>
            <w:r>
              <w:t>е</w:t>
            </w:r>
            <w:r w:rsidR="00FD1E2D" w:rsidRPr="00CE166A">
              <w:t xml:space="preserve"> батаре</w:t>
            </w:r>
            <w:r>
              <w:t>и №2, 4, 5, 6, 7, 8</w:t>
            </w:r>
            <w:r w:rsidR="00FD1E2D" w:rsidRPr="00CE166A">
              <w:t xml:space="preserve"> </w:t>
            </w:r>
            <w:r>
              <w:t xml:space="preserve"> работают </w:t>
            </w:r>
            <w:r w:rsidRPr="007A20AD">
              <w:rPr>
                <w:color w:val="auto"/>
              </w:rPr>
              <w:t>на 6</w:t>
            </w:r>
            <w:r w:rsidR="007A20AD" w:rsidRPr="007A20AD">
              <w:rPr>
                <w:color w:val="auto"/>
              </w:rPr>
              <w:t>7</w:t>
            </w:r>
            <w:r w:rsidRPr="007A20AD">
              <w:rPr>
                <w:color w:val="auto"/>
              </w:rPr>
              <w:t xml:space="preserve">% от </w:t>
            </w:r>
            <w:r w:rsidR="00FD1E2D" w:rsidRPr="00CE166A">
              <w:t>производственной мощности</w:t>
            </w:r>
            <w:r>
              <w:t>, Коксовые батареи №1, 3 остановлены.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FD1E2D" w:rsidRPr="00CE166A" w:rsidRDefault="000E141C" w:rsidP="000E141C">
            <w:pPr>
              <w:tabs>
                <w:tab w:val="left" w:pos="0"/>
                <w:tab w:val="left" w:pos="993"/>
              </w:tabs>
              <w:jc w:val="both"/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 xml:space="preserve">силен контроль за работой </w:t>
            </w:r>
            <w:r>
              <w:rPr>
                <w:color w:val="auto"/>
                <w:lang w:eastAsia="ru-RU"/>
              </w:rPr>
              <w:t>газоочистных систем</w:t>
            </w:r>
            <w:r>
              <w:t>. Осуществляется в</w:t>
            </w:r>
            <w:r w:rsidR="00B352C0" w:rsidRPr="00CE166A">
              <w:t>изуальный к</w:t>
            </w:r>
            <w:r w:rsidR="00FD1E2D" w:rsidRPr="00CE166A">
              <w:t xml:space="preserve">онтроль режима подачи воды на </w:t>
            </w:r>
            <w:r>
              <w:rPr>
                <w:color w:val="auto"/>
                <w:lang w:eastAsia="ru-RU"/>
              </w:rPr>
              <w:t>газоочистные системы.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FD1E2D" w:rsidRPr="00CE166A" w:rsidRDefault="00FD1E2D" w:rsidP="00E261DE">
            <w:pPr>
              <w:tabs>
                <w:tab w:val="left" w:pos="0"/>
                <w:tab w:val="left" w:pos="993"/>
              </w:tabs>
              <w:jc w:val="both"/>
            </w:pPr>
            <w:r w:rsidRPr="00CE166A">
              <w:rPr>
                <w:color w:val="auto"/>
                <w:lang w:eastAsia="ru-RU"/>
              </w:rPr>
              <w:t>З</w:t>
            </w:r>
            <w:r w:rsidRPr="009D00E5">
              <w:rPr>
                <w:color w:val="auto"/>
                <w:lang w:eastAsia="ru-RU"/>
              </w:rPr>
              <w:t>апрещены сварочные работы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FD1E2D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>силен контроль и обеспеч</w:t>
            </w:r>
            <w:r w:rsidRPr="00CE166A">
              <w:rPr>
                <w:color w:val="auto"/>
                <w:lang w:eastAsia="ru-RU"/>
              </w:rPr>
              <w:t xml:space="preserve">ение герметичности </w:t>
            </w:r>
            <w:r w:rsidR="000E141C">
              <w:rPr>
                <w:color w:val="auto"/>
                <w:lang w:eastAsia="ru-RU"/>
              </w:rPr>
              <w:t xml:space="preserve">технологического </w:t>
            </w:r>
            <w:r w:rsidRPr="00CE166A">
              <w:rPr>
                <w:color w:val="auto"/>
                <w:lang w:eastAsia="ru-RU"/>
              </w:rPr>
              <w:t>оборудования</w:t>
            </w:r>
            <w:r w:rsidRPr="009D00E5">
              <w:rPr>
                <w:color w:val="auto"/>
                <w:lang w:eastAsia="ru-RU"/>
              </w:rPr>
              <w:t xml:space="preserve"> 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FD1E2D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 xml:space="preserve">силен контроль за работой систем бездымной загрузки и беспылевой выдачи кокса.       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0E141C" w:rsidP="00FD1E2D">
            <w:pPr>
              <w:suppressAutoHyphens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Осуществляется дополнительно</w:t>
            </w:r>
            <w:r w:rsidR="00FD1E2D" w:rsidRPr="009D00E5">
              <w:rPr>
                <w:color w:val="auto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FD1E2D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>силен контроль качества воды на тушение кокса.</w:t>
            </w:r>
          </w:p>
        </w:tc>
      </w:tr>
      <w:tr w:rsidR="00B352C0" w:rsidRPr="00CE166A" w:rsidTr="00CE166A">
        <w:trPr>
          <w:trHeight w:val="1050"/>
        </w:trPr>
        <w:tc>
          <w:tcPr>
            <w:tcW w:w="2405" w:type="dxa"/>
          </w:tcPr>
          <w:p w:rsidR="00B352C0" w:rsidRPr="00CE166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Химические цех</w:t>
            </w:r>
            <w:r w:rsidRPr="00CE166A">
              <w:rPr>
                <w:b/>
                <w:bCs/>
                <w:color w:val="auto"/>
                <w:lang w:eastAsia="ru-RU"/>
              </w:rPr>
              <w:t>а</w:t>
            </w:r>
            <w:r w:rsidRPr="009D00E5">
              <w:rPr>
                <w:b/>
                <w:bCs/>
                <w:color w:val="auto"/>
                <w:lang w:eastAsia="ru-RU"/>
              </w:rPr>
              <w:t xml:space="preserve"> </w:t>
            </w:r>
          </w:p>
          <w:p w:rsidR="00B352C0" w:rsidRPr="00CE166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9D00E5" w:rsidRDefault="00B352C0" w:rsidP="00B352C0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З</w:t>
            </w:r>
            <w:r w:rsidRPr="009D00E5">
              <w:rPr>
                <w:color w:val="auto"/>
                <w:lang w:eastAsia="ru-RU"/>
              </w:rPr>
              <w:t>апрещены сварочные работы</w:t>
            </w:r>
            <w:r w:rsidRPr="00CE166A">
              <w:rPr>
                <w:color w:val="auto"/>
                <w:lang w:eastAsia="ru-RU"/>
              </w:rPr>
              <w:t xml:space="preserve"> во всех участках и подразделениях</w:t>
            </w:r>
          </w:p>
        </w:tc>
      </w:tr>
    </w:tbl>
    <w:p w:rsidR="009D00E5" w:rsidRPr="00E65FCF" w:rsidRDefault="00A61934" w:rsidP="00A61934">
      <w:pPr>
        <w:tabs>
          <w:tab w:val="left" w:pos="0"/>
          <w:tab w:val="left" w:pos="993"/>
        </w:tabs>
        <w:jc w:val="both"/>
        <w:rPr>
          <w:sz w:val="24"/>
        </w:rPr>
      </w:pPr>
      <w:r w:rsidRPr="00E65FCF">
        <w:rPr>
          <w:sz w:val="24"/>
        </w:rPr>
        <w:tab/>
      </w:r>
    </w:p>
    <w:p w:rsidR="00A61934" w:rsidRPr="00CF7039" w:rsidRDefault="009D00E5" w:rsidP="00CF7039">
      <w:pPr>
        <w:tabs>
          <w:tab w:val="left" w:pos="0"/>
        </w:tabs>
        <w:jc w:val="both"/>
        <w:rPr>
          <w:b/>
          <w:sz w:val="22"/>
          <w:szCs w:val="22"/>
        </w:rPr>
      </w:pPr>
      <w:r w:rsidRPr="00E65FCF">
        <w:rPr>
          <w:sz w:val="24"/>
        </w:rPr>
        <w:tab/>
      </w:r>
      <w:r w:rsidR="00A61934" w:rsidRPr="00CF7039">
        <w:rPr>
          <w:b/>
          <w:sz w:val="22"/>
          <w:szCs w:val="22"/>
        </w:rPr>
        <w:t xml:space="preserve">Дополнительно в период действия НМУ </w:t>
      </w:r>
      <w:r w:rsidR="00B352C0" w:rsidRPr="00CF7039">
        <w:rPr>
          <w:b/>
          <w:sz w:val="22"/>
          <w:szCs w:val="22"/>
        </w:rPr>
        <w:t>выполнялись</w:t>
      </w:r>
      <w:r w:rsidR="00A61934" w:rsidRPr="00CF7039">
        <w:rPr>
          <w:b/>
          <w:sz w:val="22"/>
          <w:szCs w:val="22"/>
        </w:rPr>
        <w:t xml:space="preserve"> следующ</w:t>
      </w:r>
      <w:r w:rsidR="00B352C0" w:rsidRPr="00CF7039">
        <w:rPr>
          <w:b/>
          <w:sz w:val="22"/>
          <w:szCs w:val="22"/>
        </w:rPr>
        <w:t>ие</w:t>
      </w:r>
      <w:r w:rsidR="00A61934" w:rsidRPr="00CF7039">
        <w:rPr>
          <w:b/>
          <w:sz w:val="22"/>
          <w:szCs w:val="22"/>
        </w:rPr>
        <w:t xml:space="preserve"> </w:t>
      </w:r>
      <w:r w:rsidR="000E141C">
        <w:rPr>
          <w:b/>
          <w:sz w:val="22"/>
          <w:szCs w:val="22"/>
        </w:rPr>
        <w:t>мероприятия</w:t>
      </w:r>
      <w:r w:rsidR="00A61934" w:rsidRPr="00CF7039">
        <w:rPr>
          <w:b/>
          <w:sz w:val="22"/>
          <w:szCs w:val="22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CF7039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CF7039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F7039">
              <w:rPr>
                <w:b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CF7039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B352C0" w:rsidRPr="00CF7039" w:rsidTr="00CF7039">
        <w:tc>
          <w:tcPr>
            <w:tcW w:w="2972" w:type="dxa"/>
            <w:vMerge w:val="restart"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Химические цех</w:t>
            </w:r>
            <w:r w:rsidRPr="00CF7039">
              <w:rPr>
                <w:b/>
                <w:bCs/>
                <w:color w:val="auto"/>
                <w:lang w:eastAsia="ru-RU"/>
              </w:rPr>
              <w:t>а</w:t>
            </w:r>
            <w:r w:rsidRPr="009D00E5">
              <w:rPr>
                <w:b/>
                <w:bCs/>
                <w:color w:val="auto"/>
                <w:lang w:eastAsia="ru-RU"/>
              </w:rPr>
              <w:t xml:space="preserve"> </w:t>
            </w:r>
          </w:p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9D00E5" w:rsidRDefault="00B352C0" w:rsidP="00B352C0">
            <w:pPr>
              <w:suppressAutoHyphens w:val="0"/>
              <w:rPr>
                <w:color w:val="auto"/>
                <w:lang w:eastAsia="ru-RU"/>
              </w:rPr>
            </w:pPr>
            <w:r w:rsidRPr="009D00E5">
              <w:rPr>
                <w:color w:val="auto"/>
                <w:lang w:eastAsia="ru-RU"/>
              </w:rPr>
              <w:t>- усилен контроль за технологическим режимом</w:t>
            </w:r>
          </w:p>
        </w:tc>
      </w:tr>
      <w:tr w:rsidR="00B352C0" w:rsidRPr="00CF7039" w:rsidTr="00CF7039">
        <w:tc>
          <w:tcPr>
            <w:tcW w:w="2972" w:type="dxa"/>
            <w:vMerge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rPr>
                <w:b/>
              </w:rPr>
            </w:pPr>
            <w:r w:rsidRPr="009D00E5">
              <w:rPr>
                <w:color w:val="auto"/>
                <w:lang w:eastAsia="ru-RU"/>
              </w:rPr>
              <w:t>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CF7039" w:rsidTr="00CF7039">
        <w:tc>
          <w:tcPr>
            <w:tcW w:w="2972" w:type="dxa"/>
            <w:vMerge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rPr>
                <w:b/>
              </w:rPr>
            </w:pPr>
            <w:r w:rsidRPr="009D00E5">
              <w:rPr>
                <w:color w:val="auto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CF7039" w:rsidTr="00CF7039">
        <w:trPr>
          <w:trHeight w:val="199"/>
        </w:trPr>
        <w:tc>
          <w:tcPr>
            <w:tcW w:w="2972" w:type="dxa"/>
          </w:tcPr>
          <w:p w:rsidR="00CF7039" w:rsidRPr="00CF7039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CF7039">
              <w:rPr>
                <w:b/>
                <w:bCs/>
                <w:color w:val="auto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CF7039" w:rsidRDefault="00CF7039" w:rsidP="00CF7039">
            <w:pPr>
              <w:suppressAutoHyphens w:val="0"/>
              <w:jc w:val="both"/>
              <w:rPr>
                <w:color w:val="auto"/>
                <w:lang w:eastAsia="ru-RU"/>
              </w:rPr>
            </w:pPr>
            <w:r w:rsidRPr="00CF7039">
              <w:rPr>
                <w:color w:val="auto"/>
                <w:lang w:eastAsia="ru-RU"/>
              </w:rPr>
              <w:t>Запрещена работа лаковой установки.</w:t>
            </w:r>
          </w:p>
        </w:tc>
      </w:tr>
      <w:tr w:rsidR="00CF7039" w:rsidRPr="00CF7039" w:rsidTr="00424697">
        <w:trPr>
          <w:trHeight w:val="311"/>
        </w:trPr>
        <w:tc>
          <w:tcPr>
            <w:tcW w:w="2972" w:type="dxa"/>
          </w:tcPr>
          <w:p w:rsidR="00CF7039" w:rsidRPr="00CF7039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CF7039">
              <w:rPr>
                <w:b/>
                <w:bCs/>
                <w:color w:val="auto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CF7039" w:rsidRDefault="00CF7039" w:rsidP="00CF7039">
            <w:pPr>
              <w:pStyle w:val="a6"/>
              <w:spacing w:before="120"/>
              <w:ind w:firstLine="33"/>
              <w:rPr>
                <w:color w:val="auto"/>
                <w:sz w:val="20"/>
                <w:szCs w:val="20"/>
                <w:lang w:eastAsia="ru-RU"/>
              </w:rPr>
            </w:pPr>
            <w:r w:rsidRPr="00CF7039">
              <w:rPr>
                <w:color w:val="auto"/>
                <w:sz w:val="20"/>
                <w:szCs w:val="20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F7039">
      <w:pPr>
        <w:pStyle w:val="2"/>
        <w:widowControl/>
        <w:spacing w:line="240" w:lineRule="auto"/>
        <w:rPr>
          <w:rFonts w:ascii="Times New Roman" w:hAnsi="Times New Roman"/>
          <w:bCs/>
          <w:snapToGrid/>
        </w:rPr>
      </w:pPr>
    </w:p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70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70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20AD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4E81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4031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ED5E-4F36-45A8-845E-CAF9DA5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14</cp:revision>
  <cp:lastPrinted>2022-01-24T11:36:00Z</cp:lastPrinted>
  <dcterms:created xsi:type="dcterms:W3CDTF">2022-01-17T03:49:00Z</dcterms:created>
  <dcterms:modified xsi:type="dcterms:W3CDTF">2022-02-28T04:33:00Z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